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80"/>
        <w:jc w:val="center"/>
        <w:rPr>
          <w:rFonts w:eastAsia="华文楷体"/>
          <w:sz w:val="24"/>
        </w:rPr>
      </w:pPr>
      <w:r>
        <w:rPr>
          <w:rFonts w:hint="eastAsia" w:eastAsia="华文楷体"/>
          <w:sz w:val="24"/>
          <w:lang w:val="en-US" w:eastAsia="zh-CN"/>
        </w:rPr>
        <w:t>2026届</w:t>
      </w:r>
      <w:r>
        <w:rPr>
          <w:rFonts w:eastAsia="华文楷体"/>
          <w:sz w:val="24"/>
        </w:rPr>
        <w:t>周六提高班（3）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eastAsia="方正书宋_GBK"/>
          <w:szCs w:val="20"/>
        </w:rPr>
      </w:pPr>
      <w:r>
        <w:rPr>
          <w:rFonts w:hint="eastAsia" w:ascii="Times New Roman" w:hAnsi="Times New Roman" w:eastAsia="方正书宋_GBK"/>
          <w:szCs w:val="20"/>
          <w:lang w:val="en-US" w:eastAsia="zh-CN"/>
        </w:rPr>
        <w:t xml:space="preserve">1. </w:t>
      </w:r>
      <w:r>
        <w:rPr>
          <w:rFonts w:ascii="Times New Roman" w:hAnsi="Times New Roman" w:eastAsia="方正书宋_GBK"/>
          <w:szCs w:val="20"/>
        </w:rPr>
        <w:t>甲</w:t>
      </w:r>
      <w:r>
        <w:rPr>
          <w:rFonts w:hint="eastAsia" w:ascii="Times New Roman" w:hAnsi="Times New Roman" w:eastAsia="方正书宋_GBK"/>
          <w:szCs w:val="20"/>
        </w:rPr>
        <w:t>、</w:t>
      </w:r>
      <w:r>
        <w:rPr>
          <w:rFonts w:ascii="Times New Roman" w:hAnsi="Times New Roman" w:eastAsia="方正书宋_GBK"/>
          <w:szCs w:val="20"/>
        </w:rPr>
        <w:t>乙</w:t>
      </w:r>
      <w:r>
        <w:rPr>
          <w:rFonts w:hint="eastAsia" w:ascii="Times New Roman" w:hAnsi="Times New Roman" w:eastAsia="方正书宋_GBK"/>
          <w:szCs w:val="20"/>
        </w:rPr>
        <w:t>两</w:t>
      </w:r>
      <w:r>
        <w:rPr>
          <w:rFonts w:ascii="Times New Roman" w:hAnsi="Times New Roman" w:eastAsia="方正书宋_GBK"/>
          <w:szCs w:val="20"/>
        </w:rPr>
        <w:t>同学分别用下图</w:t>
      </w:r>
      <w:r>
        <w:rPr>
          <w:rFonts w:hint="eastAsia" w:ascii="Times New Roman" w:hAnsi="Times New Roman" w:eastAsia="方正书宋_GBK"/>
          <w:szCs w:val="20"/>
        </w:rPr>
        <w:t>1装置</w:t>
      </w:r>
      <w:r>
        <w:rPr>
          <w:rFonts w:ascii="Times New Roman" w:hAnsi="Times New Roman" w:eastAsia="方正书宋_GBK"/>
          <w:szCs w:val="20"/>
        </w:rPr>
        <w:t>进行</w:t>
      </w:r>
      <w:r>
        <w:rPr>
          <w:rFonts w:ascii="Times New Roman" w:hAnsi="Times New Roman" w:eastAsia="方正书宋_GBK"/>
          <w:szCs w:val="20"/>
          <w:lang w:val="pt-BR"/>
        </w:rPr>
        <w:t>Fe</w:t>
      </w:r>
      <w:r>
        <w:rPr>
          <w:rFonts w:ascii="Times New Roman" w:hAnsi="Times New Roman" w:eastAsia="方正书宋_GBK"/>
          <w:szCs w:val="20"/>
        </w:rPr>
        <w:t>粉与水蒸气反应</w:t>
      </w:r>
      <w:r>
        <w:rPr>
          <w:rFonts w:hint="eastAsia" w:ascii="Times New Roman" w:hAnsi="Times New Roman" w:eastAsia="方正书宋_GBK"/>
          <w:szCs w:val="20"/>
        </w:rPr>
        <w:t>的</w:t>
      </w:r>
      <w:r>
        <w:rPr>
          <w:rFonts w:ascii="Times New Roman" w:hAnsi="Times New Roman" w:eastAsia="方正书宋_GBK"/>
          <w:szCs w:val="20"/>
        </w:rPr>
        <w:t>实验</w:t>
      </w:r>
      <w:r>
        <w:rPr>
          <w:rFonts w:hint="eastAsia" w:ascii="Times New Roman" w:hAnsi="Times New Roman" w:eastAsia="方正书宋_GBK"/>
          <w:szCs w:val="20"/>
        </w:rPr>
        <w:t>。</w:t>
      </w:r>
    </w:p>
    <w:p>
      <w:pPr>
        <w:adjustRightInd w:val="0"/>
        <w:snapToGrid w:val="0"/>
        <w:spacing w:line="360" w:lineRule="auto"/>
        <w:ind w:firstLine="2310" w:firstLineChars="1100"/>
        <w:rPr>
          <w:rFonts w:ascii="Times New Roman" w:hAnsi="Times New Roman" w:eastAsia="方正书宋_GBK"/>
          <w:szCs w:val="20"/>
          <w:lang w:val="pt-BR"/>
        </w:rPr>
      </w:pPr>
      <w:r>
        <w:rPr>
          <w:rFonts w:hint="eastAsia"/>
        </w:rPr>
        <w:drawing>
          <wp:inline distT="0" distB="0" distL="0" distR="0">
            <wp:extent cx="2094865" cy="1158240"/>
            <wp:effectExtent l="0" t="0" r="635" b="3810"/>
            <wp:docPr id="15" name="图片 15" descr="t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证明生成的气体是氢气，依据的现象是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0"/>
        </w:rPr>
        <w:t>。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②该反应的化学方程式</w:t>
      </w:r>
      <w:r>
        <w:rPr>
          <w:rFonts w:hint="eastAsia" w:ascii="Times New Roman" w:hAnsi="Times New Roman"/>
          <w:szCs w:val="24"/>
        </w:rPr>
        <w:t>是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0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0"/>
        </w:rPr>
      </w:pPr>
      <w:bookmarkStart w:id="0" w:name="_GoBack"/>
      <w:r>
        <w:rPr>
          <w:rFonts w:ascii="Times New Roman" w:hAnsi="Times New Roman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-886460</wp:posOffset>
            </wp:positionV>
            <wp:extent cx="19050" cy="9525"/>
            <wp:effectExtent l="0" t="0" r="0" b="0"/>
            <wp:wrapNone/>
            <wp:docPr id="586" name="图片 58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 descr="封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/>
          <w:szCs w:val="20"/>
        </w:rPr>
        <w:t>（2）</w:t>
      </w:r>
      <w:r>
        <w:rPr>
          <w:rFonts w:hint="eastAsia" w:ascii="Times New Roman" w:hAnsi="Times New Roman" w:eastAsia="方正书宋_GBK"/>
          <w:szCs w:val="20"/>
        </w:rPr>
        <w:t>实验</w:t>
      </w:r>
      <w:r>
        <w:rPr>
          <w:rFonts w:ascii="Times New Roman" w:hAnsi="Times New Roman" w:eastAsia="方正书宋_GBK"/>
          <w:szCs w:val="20"/>
        </w:rPr>
        <w:fldChar w:fldCharType="begin"/>
      </w:r>
      <w:r>
        <w:rPr>
          <w:rFonts w:ascii="Times New Roman" w:hAnsi="Times New Roman" w:eastAsia="方正书宋_GBK"/>
          <w:szCs w:val="20"/>
        </w:rPr>
        <w:instrText xml:space="preserve"> </w:instrText>
      </w:r>
      <w:r>
        <w:rPr>
          <w:rFonts w:hint="eastAsia" w:ascii="Times New Roman" w:hAnsi="Times New Roman" w:eastAsia="方正书宋_GBK"/>
          <w:szCs w:val="20"/>
        </w:rPr>
        <w:instrText xml:space="preserve">= 2 \* ROMAN</w:instrText>
      </w:r>
      <w:r>
        <w:rPr>
          <w:rFonts w:ascii="Times New Roman" w:hAnsi="Times New Roman" w:eastAsia="方正书宋_GBK"/>
          <w:szCs w:val="20"/>
        </w:rPr>
        <w:instrText xml:space="preserve"> </w:instrText>
      </w:r>
      <w:r>
        <w:rPr>
          <w:rFonts w:ascii="Times New Roman" w:hAnsi="Times New Roman" w:eastAsia="方正书宋_GBK"/>
          <w:szCs w:val="20"/>
        </w:rPr>
        <w:fldChar w:fldCharType="separate"/>
      </w:r>
      <w:r>
        <w:rPr>
          <w:rFonts w:ascii="Times New Roman" w:hAnsi="Times New Roman" w:eastAsia="方正书宋_GBK"/>
          <w:szCs w:val="20"/>
        </w:rPr>
        <w:t>II</w:t>
      </w:r>
      <w:r>
        <w:rPr>
          <w:rFonts w:ascii="Times New Roman" w:hAnsi="Times New Roman" w:eastAsia="方正书宋_GBK"/>
          <w:szCs w:val="20"/>
        </w:rPr>
        <w:fldChar w:fldCharType="end"/>
      </w:r>
      <w:r>
        <w:rPr>
          <w:rFonts w:hint="eastAsia" w:ascii="Times New Roman" w:hAnsi="Times New Roman" w:eastAsia="方正书宋_GBK"/>
          <w:szCs w:val="20"/>
        </w:rPr>
        <w:t>：</w:t>
      </w:r>
      <w:r>
        <w:rPr>
          <w:rFonts w:ascii="Times New Roman" w:hAnsi="Times New Roman"/>
          <w:szCs w:val="20"/>
        </w:rPr>
        <w:t>甲、乙同学分别对</w:t>
      </w:r>
      <w:r>
        <w:rPr>
          <w:rFonts w:hint="eastAsia" w:ascii="Times New Roman" w:hAnsi="Times New Roman"/>
          <w:szCs w:val="20"/>
        </w:rPr>
        <w:t>各自</w:t>
      </w:r>
      <w:r>
        <w:rPr>
          <w:rFonts w:hint="eastAsia" w:ascii="Times New Roman" w:hAnsi="Times New Roman" w:eastAsia="方正书宋_GBK"/>
          <w:szCs w:val="20"/>
        </w:rPr>
        <w:t>实验</w:t>
      </w:r>
      <w:r>
        <w:rPr>
          <w:rFonts w:ascii="Times New Roman" w:hAnsi="Times New Roman" w:eastAsia="方正书宋_GBK"/>
          <w:szCs w:val="20"/>
        </w:rPr>
        <w:fldChar w:fldCharType="begin"/>
      </w:r>
      <w:r>
        <w:rPr>
          <w:rFonts w:ascii="Times New Roman" w:hAnsi="Times New Roman" w:eastAsia="方正书宋_GBK"/>
          <w:szCs w:val="20"/>
        </w:rPr>
        <w:instrText xml:space="preserve"> </w:instrText>
      </w:r>
      <w:r>
        <w:rPr>
          <w:rFonts w:hint="eastAsia" w:ascii="Times New Roman" w:hAnsi="Times New Roman" w:eastAsia="方正书宋_GBK"/>
          <w:szCs w:val="20"/>
        </w:rPr>
        <w:instrText xml:space="preserve">= 1 \* ROMAN</w:instrText>
      </w:r>
      <w:r>
        <w:rPr>
          <w:rFonts w:ascii="Times New Roman" w:hAnsi="Times New Roman" w:eastAsia="方正书宋_GBK"/>
          <w:szCs w:val="20"/>
        </w:rPr>
        <w:instrText xml:space="preserve"> </w:instrText>
      </w:r>
      <w:r>
        <w:rPr>
          <w:rFonts w:ascii="Times New Roman" w:hAnsi="Times New Roman" w:eastAsia="方正书宋_GBK"/>
          <w:szCs w:val="20"/>
        </w:rPr>
        <w:fldChar w:fldCharType="separate"/>
      </w:r>
      <w:r>
        <w:rPr>
          <w:rFonts w:ascii="Times New Roman" w:hAnsi="Times New Roman" w:eastAsia="方正书宋_GBK"/>
          <w:szCs w:val="20"/>
        </w:rPr>
        <w:t>I</w:t>
      </w:r>
      <w:r>
        <w:rPr>
          <w:rFonts w:ascii="Times New Roman" w:hAnsi="Times New Roman" w:eastAsia="方正书宋_GBK"/>
          <w:szCs w:val="20"/>
        </w:rPr>
        <w:fldChar w:fldCharType="end"/>
      </w:r>
      <w:r>
        <w:rPr>
          <w:rFonts w:ascii="Times New Roman" w:hAnsi="Times New Roman"/>
          <w:szCs w:val="20"/>
        </w:rPr>
        <w:t>反应后的黑色固体进行研究。</w:t>
      </w:r>
      <w:r>
        <w:rPr>
          <w:rFonts w:hint="eastAsia" w:ascii="Times New Roman" w:hAnsi="Times New Roman"/>
          <w:szCs w:val="20"/>
        </w:rPr>
        <w:t>冷却取试管A中冷却</w:t>
      </w:r>
      <w:r>
        <w:rPr>
          <w:rFonts w:ascii="Times New Roman" w:hAnsi="Times New Roman"/>
          <w:szCs w:val="20"/>
        </w:rPr>
        <w:t>后的固体加入过量稀</w:t>
      </w:r>
      <w:r>
        <w:rPr>
          <w:rFonts w:hint="eastAsia" w:ascii="Times New Roman" w:hAnsi="Times New Roman"/>
          <w:szCs w:val="20"/>
        </w:rPr>
        <w:t>HC</w:t>
      </w:r>
      <w:r>
        <w:rPr>
          <w:rFonts w:ascii="Times New Roman" w:hAnsi="Times New Roman"/>
          <w:szCs w:val="20"/>
        </w:rPr>
        <w:t>l</w:t>
      </w:r>
      <w:r>
        <w:rPr>
          <w:rFonts w:hint="eastAsia" w:ascii="Times New Roman" w:hAnsi="Times New Roman"/>
          <w:szCs w:val="20"/>
        </w:rPr>
        <w:t>，</w:t>
      </w:r>
      <w:r>
        <w:rPr>
          <w:rFonts w:ascii="Times New Roman" w:hAnsi="Times New Roman"/>
          <w:szCs w:val="20"/>
        </w:rPr>
        <w:t>充分反应后</w:t>
      </w:r>
      <w:r>
        <w:rPr>
          <w:rFonts w:hint="eastAsia" w:ascii="Times New Roman" w:hAnsi="Times New Roman"/>
          <w:szCs w:val="20"/>
        </w:rPr>
        <w:t>将</w:t>
      </w:r>
      <w:r>
        <w:rPr>
          <w:rFonts w:ascii="Times New Roman" w:hAnsi="Times New Roman"/>
          <w:szCs w:val="20"/>
        </w:rPr>
        <w:t>溶液分成</w:t>
      </w:r>
      <w:r>
        <w:rPr>
          <w:rFonts w:hint="eastAsia" w:ascii="Times New Roman" w:hAnsi="Times New Roman"/>
          <w:szCs w:val="20"/>
        </w:rPr>
        <w:t>两份（如</w:t>
      </w:r>
      <w:r>
        <w:rPr>
          <w:rFonts w:ascii="Times New Roman" w:hAnsi="Times New Roman"/>
          <w:szCs w:val="20"/>
        </w:rPr>
        <w:t>图</w:t>
      </w:r>
      <w:r>
        <w:rPr>
          <w:rFonts w:hint="eastAsia" w:ascii="Times New Roman" w:hAnsi="Times New Roman"/>
          <w:szCs w:val="20"/>
        </w:rPr>
        <w:t>2）。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楷体"/>
          <w:szCs w:val="21"/>
          <w:lang w:val="pt-BR"/>
        </w:rPr>
      </w:pPr>
      <w:r>
        <w:rPr>
          <w:rFonts w:hint="eastAsia" w:ascii="楷体" w:hAnsi="楷体" w:eastAsia="楷体" w:cs="楷体"/>
          <w:szCs w:val="20"/>
        </w:rPr>
        <w:t>已知：</w:t>
      </w:r>
      <w:r>
        <w:rPr>
          <w:rFonts w:ascii="Times New Roman" w:hAnsi="Times New Roman" w:eastAsia="楷体"/>
          <w:szCs w:val="20"/>
        </w:rPr>
        <w:t>Fe</w:t>
      </w:r>
      <w:r>
        <w:rPr>
          <w:rFonts w:ascii="Times New Roman" w:hAnsi="Times New Roman" w:eastAsia="楷体"/>
          <w:szCs w:val="20"/>
          <w:vertAlign w:val="subscript"/>
        </w:rPr>
        <w:t>3</w:t>
      </w:r>
      <w:r>
        <w:rPr>
          <w:rFonts w:ascii="Times New Roman" w:hAnsi="Times New Roman" w:eastAsia="楷体"/>
          <w:szCs w:val="20"/>
        </w:rPr>
        <w:t>O</w:t>
      </w:r>
      <w:r>
        <w:rPr>
          <w:rFonts w:ascii="Times New Roman" w:hAnsi="Times New Roman" w:eastAsia="楷体"/>
          <w:szCs w:val="20"/>
          <w:vertAlign w:val="subscript"/>
        </w:rPr>
        <w:t>4</w:t>
      </w:r>
      <w:r>
        <w:rPr>
          <w:rFonts w:ascii="Times New Roman" w:hAnsi="Times New Roman" w:eastAsia="楷体"/>
          <w:szCs w:val="21"/>
          <w:vertAlign w:val="subscript"/>
          <w:lang w:val="pt-BR"/>
        </w:rPr>
        <w:t xml:space="preserve"> </w:t>
      </w:r>
      <w:r>
        <w:rPr>
          <w:rFonts w:ascii="Times New Roman" w:hAnsi="Times New Roman" w:eastAsia="楷体"/>
          <w:szCs w:val="20"/>
          <w:lang w:val="pt-BR"/>
        </w:rPr>
        <w:t>＋</w:t>
      </w:r>
      <w:r>
        <w:rPr>
          <w:rFonts w:ascii="Times New Roman" w:hAnsi="Times New Roman" w:eastAsia="楷体"/>
          <w:szCs w:val="21"/>
          <w:lang w:val="pt-BR"/>
        </w:rPr>
        <w:t xml:space="preserve"> 8HCl </w:t>
      </w:r>
      <w:r>
        <w:rPr>
          <w:rFonts w:ascii="Times New Roman" w:hAnsi="Times New Roman" w:eastAsia="楷体"/>
          <w:szCs w:val="21"/>
        </w:rPr>
        <w:drawing>
          <wp:inline distT="0" distB="0" distL="0" distR="0">
            <wp:extent cx="302260" cy="75565"/>
            <wp:effectExtent l="0" t="0" r="2540" b="635"/>
            <wp:docPr id="587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/>
          <w:szCs w:val="21"/>
        </w:rPr>
        <w:t xml:space="preserve"> FeCl</w:t>
      </w:r>
      <w:r>
        <w:rPr>
          <w:rFonts w:ascii="Times New Roman" w:hAnsi="Times New Roman" w:eastAsia="楷体"/>
          <w:szCs w:val="21"/>
          <w:vertAlign w:val="subscript"/>
        </w:rPr>
        <w:t>2</w:t>
      </w:r>
      <w:r>
        <w:rPr>
          <w:rFonts w:ascii="Times New Roman" w:hAnsi="Times New Roman" w:eastAsia="楷体"/>
          <w:szCs w:val="21"/>
        </w:rPr>
        <w:t xml:space="preserve"> </w:t>
      </w:r>
      <w:r>
        <w:rPr>
          <w:rFonts w:ascii="Times New Roman" w:hAnsi="Times New Roman" w:eastAsia="楷体"/>
          <w:szCs w:val="20"/>
          <w:lang w:val="pt-BR"/>
        </w:rPr>
        <w:t>＋</w:t>
      </w:r>
      <w:r>
        <w:rPr>
          <w:rFonts w:ascii="Times New Roman" w:hAnsi="Times New Roman" w:eastAsia="楷体"/>
          <w:szCs w:val="21"/>
          <w:lang w:val="pt-BR"/>
        </w:rPr>
        <w:t xml:space="preserve"> 2FeCl</w:t>
      </w:r>
      <w:r>
        <w:rPr>
          <w:rFonts w:ascii="Times New Roman" w:hAnsi="Times New Roman" w:eastAsia="楷体"/>
          <w:szCs w:val="21"/>
          <w:vertAlign w:val="subscript"/>
          <w:lang w:val="pt-BR"/>
        </w:rPr>
        <w:t xml:space="preserve">3 </w:t>
      </w:r>
      <w:r>
        <w:rPr>
          <w:rFonts w:ascii="Times New Roman" w:hAnsi="Times New Roman" w:eastAsia="楷体"/>
          <w:szCs w:val="20"/>
          <w:lang w:val="pt-BR"/>
        </w:rPr>
        <w:t>＋</w:t>
      </w:r>
      <w:r>
        <w:rPr>
          <w:rFonts w:ascii="Times New Roman" w:hAnsi="Times New Roman" w:eastAsia="楷体"/>
          <w:szCs w:val="21"/>
          <w:lang w:val="pt-BR"/>
        </w:rPr>
        <w:t xml:space="preserve"> 4H</w:t>
      </w:r>
      <w:r>
        <w:rPr>
          <w:rFonts w:ascii="Times New Roman" w:hAnsi="Times New Roman" w:eastAsia="楷体"/>
          <w:szCs w:val="21"/>
          <w:vertAlign w:val="subscript"/>
          <w:lang w:val="pt-BR"/>
        </w:rPr>
        <w:t>2</w:t>
      </w:r>
      <w:r>
        <w:rPr>
          <w:rFonts w:ascii="Times New Roman" w:hAnsi="Times New Roman" w:eastAsia="楷体"/>
          <w:szCs w:val="21"/>
          <w:lang w:val="pt-BR"/>
        </w:rPr>
        <w:t>O</w:t>
      </w:r>
    </w:p>
    <w:tbl>
      <w:tblPr>
        <w:tblStyle w:val="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6"/>
        <w:gridCol w:w="224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4" w:leftChars="2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ascii="Times New Roman" w:hAnsi="Times New Roman" w:eastAsia="方正书宋_GBK"/>
                <w:szCs w:val="20"/>
              </w:rPr>
              <w:t>操作</w:t>
            </w:r>
            <w:r>
              <w:rPr>
                <w:rFonts w:hint="eastAsia" w:ascii="Times New Roman" w:hAnsi="Times New Roman" w:eastAsia="方正书宋_GBK"/>
                <w:szCs w:val="20"/>
              </w:rPr>
              <w:t>过程</w:t>
            </w:r>
          </w:p>
        </w:tc>
        <w:tc>
          <w:tcPr>
            <w:tcW w:w="512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ascii="Times New Roman" w:hAnsi="Times New Roman" w:eastAsia="方正书宋_GBK"/>
                <w:szCs w:val="20"/>
              </w:rPr>
              <w:t>现象及结论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0" w:hRule="atLeast"/>
        </w:trPr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630" w:leftChars="300"/>
              <w:jc w:val="center"/>
              <w:rPr>
                <w:rFonts w:ascii="Times New Roman" w:hAnsi="Times New Roman" w:eastAsia="方正书宋_GBK"/>
                <w:szCs w:val="2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ascii="Times New Roman" w:hAnsi="Times New Roman" w:eastAsia="方正书宋_GBK"/>
                <w:szCs w:val="20"/>
              </w:rPr>
              <w:t>甲</w:t>
            </w:r>
            <w:r>
              <w:rPr>
                <w:rFonts w:hint="eastAsia" w:ascii="Times New Roman" w:hAnsi="Times New Roman" w:eastAsia="方正书宋_GBK"/>
                <w:szCs w:val="20"/>
              </w:rPr>
              <w:t>同学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ascii="Times New Roman" w:hAnsi="Times New Roman" w:eastAsia="方正书宋_GBK"/>
                <w:szCs w:val="20"/>
              </w:rPr>
              <w:t>乙</w:t>
            </w:r>
            <w:r>
              <w:rPr>
                <w:rFonts w:hint="eastAsia" w:ascii="Times New Roman" w:hAnsi="Times New Roman" w:eastAsia="方正书宋_GBK"/>
                <w:szCs w:val="20"/>
              </w:rPr>
              <w:t>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751330" cy="2144395"/>
                  <wp:effectExtent l="0" t="0" r="1270" b="8255"/>
                  <wp:docPr id="16" name="图片 16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0" cy="214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试管B中</w:t>
            </w:r>
            <w:r>
              <w:rPr>
                <w:rFonts w:ascii="Times New Roman" w:hAnsi="Times New Roman" w:eastAsia="方正书宋_GBK"/>
                <w:szCs w:val="20"/>
              </w:rPr>
              <w:t>固体全部溶解</w:t>
            </w:r>
            <w:r>
              <w:rPr>
                <w:rFonts w:hint="eastAsia" w:ascii="Times New Roman" w:hAnsi="Times New Roman" w:eastAsia="方正书宋_GBK"/>
                <w:szCs w:val="20"/>
              </w:rPr>
              <w:t>，得到溶液</w:t>
            </w:r>
            <w:r>
              <w:rPr>
                <w:rFonts w:ascii="Times New Roman" w:hAnsi="Times New Roman" w:eastAsia="方正书宋_GBK"/>
                <w:szCs w:val="20"/>
              </w:rPr>
              <w:t>M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试管B</w:t>
            </w:r>
            <w:r>
              <w:rPr>
                <w:rFonts w:ascii="Times New Roman" w:hAnsi="Times New Roman" w:eastAsia="方正书宋_GBK"/>
                <w:szCs w:val="20"/>
              </w:rPr>
              <w:t>固体全部溶解，</w:t>
            </w:r>
            <w:r>
              <w:rPr>
                <w:rFonts w:hint="eastAsia" w:ascii="Times New Roman" w:hAnsi="Times New Roman" w:eastAsia="方正书宋_GBK"/>
                <w:szCs w:val="20"/>
              </w:rPr>
              <w:t>同时</w:t>
            </w:r>
            <w:r>
              <w:rPr>
                <w:rFonts w:ascii="Times New Roman" w:hAnsi="Times New Roman" w:eastAsia="方正书宋_GBK"/>
                <w:szCs w:val="20"/>
              </w:rPr>
              <w:t>有大量气泡产生</w:t>
            </w:r>
            <w:r>
              <w:rPr>
                <w:rFonts w:hint="eastAsia" w:ascii="Times New Roman" w:hAnsi="Times New Roman" w:eastAsia="方正书宋_GBK"/>
                <w:szCs w:val="20"/>
              </w:rPr>
              <w:t>，得到溶液</w:t>
            </w:r>
            <w:r>
              <w:rPr>
                <w:rFonts w:ascii="Times New Roman" w:hAnsi="Times New Roman" w:eastAsia="方正书宋_GBK"/>
                <w:szCs w:val="20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试管C</w:t>
            </w:r>
            <w:r>
              <w:rPr>
                <w:rFonts w:ascii="Times New Roman" w:hAnsi="Times New Roman" w:eastAsia="方正书宋_GBK"/>
                <w:szCs w:val="20"/>
              </w:rPr>
              <w:t>溶液</w:t>
            </w:r>
            <w:r>
              <w:rPr>
                <w:rFonts w:hint="eastAsia" w:ascii="Times New Roman" w:hAnsi="Times New Roman" w:eastAsia="方正书宋_GBK"/>
                <w:szCs w:val="20"/>
              </w:rPr>
              <w:t>变</w:t>
            </w:r>
            <w:r>
              <w:rPr>
                <w:rFonts w:ascii="Times New Roman" w:hAnsi="Times New Roman" w:eastAsia="方正书宋_GBK"/>
                <w:szCs w:val="20"/>
              </w:rPr>
              <w:t>红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试管C</w:t>
            </w:r>
            <w:r>
              <w:rPr>
                <w:rFonts w:ascii="Times New Roman" w:hAnsi="Times New Roman" w:eastAsia="方正书宋_GBK"/>
                <w:szCs w:val="20"/>
              </w:rPr>
              <w:t>溶液没有变红，用离子方程式解释原因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②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试管D开始</w:t>
            </w:r>
            <w:r>
              <w:rPr>
                <w:rFonts w:ascii="Times New Roman" w:hAnsi="Times New Roman" w:eastAsia="方正书宋_GBK"/>
                <w:szCs w:val="20"/>
              </w:rPr>
              <w:t>有红褐色</w:t>
            </w:r>
            <w:r>
              <w:rPr>
                <w:rFonts w:hint="eastAsia" w:ascii="Times New Roman" w:hAnsi="Times New Roman" w:eastAsia="方正书宋_GBK"/>
                <w:szCs w:val="20"/>
              </w:rPr>
              <w:t>和</w:t>
            </w:r>
            <w:r>
              <w:rPr>
                <w:rFonts w:ascii="Times New Roman" w:hAnsi="Times New Roman" w:eastAsia="方正书宋_GBK"/>
                <w:szCs w:val="20"/>
              </w:rPr>
              <w:t>灰绿色沉淀生成，</w:t>
            </w:r>
            <w:r>
              <w:rPr>
                <w:rFonts w:hint="eastAsia" w:ascii="Times New Roman" w:hAnsi="Times New Roman" w:eastAsia="方正书宋_GBK"/>
                <w:szCs w:val="20"/>
              </w:rPr>
              <w:t>最终全部变为红褐色。</w:t>
            </w:r>
            <w:r>
              <w:rPr>
                <w:rFonts w:ascii="Times New Roman" w:hAnsi="Times New Roman" w:eastAsia="方正书宋_GBK"/>
                <w:szCs w:val="20"/>
              </w:rPr>
              <w:t>则溶液M中存在的阳离子有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①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试管</w:t>
            </w:r>
            <w:r>
              <w:rPr>
                <w:rFonts w:ascii="Times New Roman" w:hAnsi="Times New Roman" w:eastAsia="方正书宋_GBK"/>
                <w:szCs w:val="20"/>
              </w:rPr>
              <w:t>D实验现象是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③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方正书宋_GBK"/>
                <w:szCs w:val="20"/>
              </w:rPr>
            </w:pPr>
            <w:r>
              <w:rPr>
                <w:rFonts w:hint="eastAsia" w:ascii="Times New Roman" w:hAnsi="Times New Roman" w:eastAsia="方正书宋_GBK"/>
                <w:szCs w:val="20"/>
              </w:rPr>
              <w:t>产生</w:t>
            </w:r>
            <w:r>
              <w:rPr>
                <w:rFonts w:ascii="Times New Roman" w:hAnsi="Times New Roman" w:eastAsia="方正书宋_GBK"/>
                <w:szCs w:val="20"/>
              </w:rPr>
              <w:t>该现象发生的氧化还原反应的化学方程式是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④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</w:tc>
      </w:tr>
    </w:tbl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2.</w:t>
      </w:r>
      <w:r>
        <w:t>选用稀硫酸、铁粉、NaOH溶液进行实验，装置如图2。</w:t>
      </w:r>
    </w:p>
    <w:p>
      <w:pPr>
        <w:shd w:val="clear" w:color="auto" w:fill="FFFFFF" w:themeFill="background1"/>
        <w:spacing w:line="360" w:lineRule="auto"/>
        <w:jc w:val="center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81200" cy="1695450"/>
            <wp:effectExtent l="0" t="0" r="0" b="0"/>
            <wp:docPr id="10" name="图片 5" descr="@@@33cfbb93-77ed-45ae-bb12-f8ac900b9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@@@33cfbb93-77ed-45ae-bb12-f8ac900b9f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default" w:ascii="Times New Roman" w:hAnsi="Times New Roman" w:eastAsia="宋体"/>
          <w:lang w:val="en-US" w:eastAsia="zh-CN"/>
        </w:rPr>
      </w:pPr>
      <w:r>
        <w:t>实验时，先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(填“打开”或“关闭”)止水夹K，然后打开分液漏斗的玻璃塞和活塞，使稀硫酸与铁粉反应，一段时间后，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(填“打开”或“关闭”)止水夹K，制得白色</w:t>
      </w:r>
      <w:r>
        <w:object>
          <v:shape id="_x0000_i1025" o:spt="75" alt="eqIdf525f310ec41b07e19b3113351a915ad" type="#_x0000_t75" style="height:17.55pt;width:42.2pt;" o:ole="t" filled="f" o:preferrelative="t" stroked="f" coordsize="21600,21600">
            <v:path/>
            <v:fill on="f" focussize="0,0"/>
            <v:stroke on="f" joinstyle="miter"/>
            <v:imagedata r:id="rId10" o:title="eqIdf525f310ec41b07e19b3113351a915ad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沉淀，该方法制得的</w:t>
      </w:r>
      <w:r>
        <w:object>
          <v:shape id="_x0000_i1026" o:spt="75" alt="eqIdf525f310ec41b07e19b3113351a915ad" type="#_x0000_t75" style="height:17.55pt;width:42.2pt;" o:ole="t" filled="f" o:preferrelative="t" stroked="f" coordsize="21600,21600">
            <v:path/>
            <v:fill on="f" focussize="0,0"/>
            <v:stroke on="f" joinstyle="miter"/>
            <v:imagedata r:id="rId10" o:title="eqIdf525f310ec41b07e19b3113351a915ad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沉淀能保持一段时间不变色的原因有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                                                             </w:t>
      </w:r>
      <w:r>
        <w:t>。</w:t>
      </w:r>
    </w:p>
    <w:p>
      <w:pPr>
        <w:rPr>
          <w:rFonts w:ascii="Times New Roman" w:hAnsi="Times New Roman"/>
        </w:rPr>
      </w:pPr>
    </w:p>
    <w:p>
      <w:pPr>
        <w:numPr>
          <w:ilvl w:val="0"/>
          <w:numId w:val="0"/>
        </w:numPr>
        <w:overflowPunct w:val="0"/>
        <w:adjustRightInd w:val="0"/>
        <w:spacing w:line="360" w:lineRule="auto"/>
        <w:ind w:leftChars="67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3. </w:t>
      </w:r>
      <w:r>
        <w:rPr>
          <w:sz w:val="22"/>
          <w:szCs w:val="22"/>
        </w:rPr>
        <w:t>K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[Fe(C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]·3H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O（三草酸合铁酸钾）为亮绿色晶体，可用于晒制蓝图。回答下列问题：</w:t>
      </w:r>
    </w:p>
    <w:p>
      <w:pPr>
        <w:overflowPunct w:val="0"/>
        <w:adjustRightInd w:val="0"/>
        <w:spacing w:line="360" w:lineRule="auto"/>
        <w:ind w:left="970" w:leftChars="200" w:hanging="550" w:hangingChars="250"/>
        <w:textAlignment w:val="center"/>
        <w:rPr>
          <w:sz w:val="22"/>
          <w:szCs w:val="22"/>
        </w:rPr>
      </w:pPr>
      <w:r>
        <w:rPr>
          <w:sz w:val="22"/>
          <w:szCs w:val="22"/>
        </w:rPr>
        <w:t>（1）晒制蓝图时，用K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[Fe(C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]·3H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O作感光剂，以K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[Fe(CN)</w:t>
      </w:r>
      <w:r>
        <w:rPr>
          <w:sz w:val="22"/>
          <w:szCs w:val="22"/>
          <w:vertAlign w:val="subscript"/>
        </w:rPr>
        <w:t>6</w:t>
      </w:r>
      <w:r>
        <w:rPr>
          <w:sz w:val="22"/>
          <w:szCs w:val="22"/>
        </w:rPr>
        <w:t>]溶液为显色剂。其光解反应的化学方程式为：2K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[Fe(C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]</w:t>
      </w:r>
      <w:r>
        <w:rPr>
          <w:sz w:val="22"/>
          <w:szCs w:val="22"/>
        </w:rPr>
        <w:drawing>
          <wp:inline distT="0" distB="0" distL="0" distR="0">
            <wp:extent cx="533400" cy="361950"/>
            <wp:effectExtent l="0" t="0" r="0" b="0"/>
            <wp:docPr id="4" name="图片 4" descr="光照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光照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75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2FeC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+3K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C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+2CO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↑；显色反应的化学方程式为______________。</w:t>
      </w:r>
    </w:p>
    <w:p>
      <w:pPr>
        <w:overflowPunct w:val="0"/>
        <w:adjustRightInd w:val="0"/>
        <w:ind w:left="420" w:leftChars="200"/>
        <w:textAlignment w:val="center"/>
        <w:rPr>
          <w:sz w:val="20"/>
          <w:szCs w:val="20"/>
        </w:rPr>
      </w:pPr>
      <w:r>
        <w:rPr>
          <w:sz w:val="20"/>
          <w:szCs w:val="20"/>
        </w:rPr>
        <w:t>（2）某小组为探究三草酸合铁酸钾的热分解产物，按下图所示装置进行实验。</w:t>
      </w:r>
    </w:p>
    <w:p>
      <w:pPr>
        <w:overflowPunct w:val="0"/>
        <w:adjustRightInd w:val="0"/>
        <w:ind w:left="420" w:leftChars="200"/>
        <w:jc w:val="left"/>
        <w:textAlignment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486400" cy="1581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>
        <w:rPr>
          <w:sz w:val="20"/>
          <w:szCs w:val="20"/>
        </w:rPr>
        <w:t>通入氮气的目的是________________________________________。</w:t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>实验中观察到装置B、F中澄清石灰水均变浑浊，装置E中固体变为红色，由此判断热分解产物中一定含有___________、___________。</w:t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>
        <w:rPr>
          <w:sz w:val="20"/>
          <w:szCs w:val="20"/>
        </w:rPr>
        <w:t>为防止倒吸，停止实验时应进行的操作是______________。</w:t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④</w:t>
      </w:r>
      <w:r>
        <w:rPr>
          <w:sz w:val="20"/>
          <w:szCs w:val="20"/>
        </w:rPr>
        <w:t>样品完全分解后，装置A中的残留物含有FeO和Fe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，检验Fe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存在的方法是：__________。</w:t>
      </w:r>
    </w:p>
    <w:p>
      <w:pPr>
        <w:overflowPunct w:val="0"/>
        <w:adjustRightInd w:val="0"/>
        <w:spacing w:line="360" w:lineRule="auto"/>
        <w:ind w:left="420" w:leftChars="200"/>
        <w:textAlignment w:val="center"/>
        <w:rPr>
          <w:sz w:val="20"/>
          <w:szCs w:val="20"/>
        </w:rPr>
      </w:pPr>
      <w:r>
        <w:rPr>
          <w:sz w:val="20"/>
          <w:szCs w:val="20"/>
        </w:rPr>
        <w:t>（3）测定三草酸合铁酸钾中铁的含量。</w:t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>
        <w:rPr>
          <w:sz w:val="20"/>
          <w:szCs w:val="20"/>
        </w:rPr>
        <w:t>称量</w:t>
      </w:r>
      <w:r>
        <w:rPr>
          <w:i/>
          <w:sz w:val="20"/>
          <w:szCs w:val="20"/>
        </w:rPr>
        <w:t>m</w:t>
      </w:r>
      <w:r>
        <w:rPr>
          <w:sz w:val="20"/>
          <w:szCs w:val="20"/>
        </w:rPr>
        <w:t xml:space="preserve"> g样品于锥形瓶中，溶解后加稀H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SO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酸化，用</w:t>
      </w:r>
      <w:r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 mol·L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KMnO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QUOTE </w:instrText>
      </w:r>
      <w:r>
        <w:rPr>
          <w:sz w:val="20"/>
          <w:szCs w:val="21"/>
        </w:rPr>
        <w:drawing>
          <wp:inline distT="0" distB="0" distL="0" distR="0">
            <wp:extent cx="142875" cy="1714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separate"/>
      </w:r>
      <w:r>
        <w:rPr>
          <w:rFonts w:hint="eastAsia"/>
          <w:b/>
          <w:bCs/>
          <w:sz w:val="20"/>
          <w:szCs w:val="20"/>
        </w:rPr>
        <w:t>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溶液滴定至终点。滴定终点的现象是_______________。</w:t>
      </w:r>
    </w:p>
    <w:p>
      <w:pPr>
        <w:overflowPunct w:val="0"/>
        <w:adjustRightInd w:val="0"/>
        <w:spacing w:line="360" w:lineRule="auto"/>
        <w:ind w:left="945" w:leftChars="450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>向上述溶液中加入过量锌粉至反应完全后，过滤、洗涤，将滤液及洗涤液全部收集到锥形瓶中。加稀酸化，用</w:t>
      </w:r>
      <w:r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 mol·L</w:t>
      </w:r>
      <w:r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KMnO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溶液滴定至终点，消耗KMnO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溶液</w:t>
      </w:r>
      <w:r>
        <w:rPr>
          <w:i/>
          <w:sz w:val="20"/>
          <w:szCs w:val="20"/>
        </w:rPr>
        <w:t xml:space="preserve">V </w:t>
      </w:r>
      <w:r>
        <w:rPr>
          <w:sz w:val="20"/>
          <w:szCs w:val="20"/>
        </w:rPr>
        <w:t>ml。该晶体中铁的质量分数的表达式为_________。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F562A"/>
    <w:multiLevelType w:val="multilevel"/>
    <w:tmpl w:val="0D8F562A"/>
    <w:lvl w:ilvl="0" w:tentative="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D6ACF"/>
    <w:rsid w:val="5AC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宋体time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Theme="minorEastAsia"/>
      <w:szCs w:val="20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2023-12-08T01:39:00Z</dcterms:created>
  <dc:creator>10741</dc:creator>
  <cp:lastModifiedBy>10741</cp:lastModifiedBy>
  <dcterms:modified xsi:type="dcterms:W3CDTF">2023-12-08T01:39:27Z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80FFB56A890D4105A667B2A16C3EF114</vt:lpwstr>
  </property>
</Properties>
</file>